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歌尔股份调研报告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蔡文堂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歌尔股份有限公司（以下简称“歌尔股份”）成立于2001年6月，位于山东省潍坊市，2008年5月在深圳证券交易所成功上市，是中国电声行业龙头企业，也是全球微电声领域领导厂商。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一、产品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主营产品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歌尔股份是国家高新技术企业，主营业务为声电器件、光电器件、电子配件及整机类电子产品等的研发、生产与销售，产品广泛应用于智能手机、平板电脑、可穿戴设备等智能移动终端产品及智能家居、汽车电子等领域，主要为3C领域全球顶级厂商提供软硬件产品与服务，客户涵盖三星、索尼、微软、华为和小米等。 具体包括虚拟现实头显、声学产品、360°摄像头、无人机、智能家居、智能机器人等。</w:t>
      </w:r>
    </w:p>
    <w:p>
      <w:pPr>
        <w:numPr>
          <w:ilvl w:val="0"/>
          <w:numId w:val="1"/>
        </w:numPr>
        <w:ind w:left="0" w:left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零件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包括传感器、微型麦克风、微型扬声器和受话器、喇叭、线性马达、摄像头模组、镜头、天线等零件。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二、生产经营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  <w:t>自2001年成立以来，歌尔股份生产经营状况良好，业绩保持稳定快速增长，2015年公司实现营业收入137亿元（总资产192亿元）。在微型麦克风领域，歌尔股份市场占有率居国际同行业之首；蓝牙耳机ODM业务、游戏配件（包括控制器）和中高端VR产品的出货量居世界第一；在微型扬声器/受话器领域，歌尔股份居国际同行业第二名；智能手环ODM制造业务居世界第三位。歌尔股份荣获各类奖项包括：全国电子信息行业标杆企业、山东省省长质量奖、山东省科技进步奖等奖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三、关键技术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歌儿在声学、无线、软件、光学、系统集成等技术多领域积累了丰富的经验，多个领域已处于行业领先的地位，申请专利超过6000项。（1）Smart PA技术，Smart PA(功率放大)技术可以极大地提高移动设备如手机、平板电脑的音质，带给您更好的音乐体验。（2）微型麦克风防水技术，通过先进的工艺技术及结构设计，满足移动设备、可穿戴设备的防水需求。（3）光学魔影分析技术，藉由高阶非序列式光追迹模拟，来确保成像的鬼影及杂散光能被精确的消除。可提升镜片质量或减少开发周期。（4）LMA天线技术，LMA（Laser Manufacture Antenna）是使用镭雕机在普通塑胶材料的基材上形成天线形状，再使用无电电镀的方式形成金属层的一种天线制造工艺。这种工艺相对传统工艺可塑性强、更环保。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投资者关系活动记录表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 xml:space="preserve">    2016年11月3日，公司市场营销部吕旻先生介绍公司VR情况，VR是新兴产品，未来具有很大的发展潜力，从市场角度看，到2020年VR产品硬件预计有105亿美元的市场容量，外设产品预计45亿美元。歌尔自2012年就开始对VR/AR进行布局，今年已经开始出货。公司VR以头显设备布局为主，兼顾360度摄像头、无人机等，同时在周边设备方面布局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公司VR研发、生产具有国际领先的优势，分别体现在以下几个方面：ID设计、人体工学设计能力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光学设计，声学设计，产品集成设计能力、测试能力等。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五、股本股东</w:t>
      </w:r>
    </w:p>
    <w:p>
      <w:pPr>
        <w:numPr>
          <w:ilvl w:val="0"/>
          <w:numId w:val="0"/>
        </w:numPr>
        <w:ind w:firstLine="56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1、股本结构</w:t>
      </w:r>
    </w:p>
    <w:p>
      <w:pPr>
        <w:numPr>
          <w:ilvl w:val="0"/>
          <w:numId w:val="0"/>
        </w:numPr>
        <w:ind w:firstLine="56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歌尔股份流通A股总计12.63亿，占总股本82.74%。</w:t>
      </w:r>
    </w:p>
    <w:p>
      <w:pPr>
        <w:numPr>
          <w:ilvl w:val="0"/>
          <w:numId w:val="0"/>
        </w:numPr>
        <w:ind w:firstLine="56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826000" cy="3005455"/>
            <wp:effectExtent l="4445" t="4445" r="8255" b="1905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2、2016年三季报前十大股东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股东名称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股东性质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持股数量（股）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持股比例（%）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潍坊歌尔集团有限公司</w:t>
            </w:r>
          </w:p>
        </w:tc>
        <w:tc>
          <w:tcPr>
            <w:tcW w:w="21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389,997,351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姜滨</w:t>
            </w:r>
          </w:p>
        </w:tc>
        <w:tc>
          <w:tcPr>
            <w:tcW w:w="21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277,550,759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姜龙</w:t>
            </w:r>
          </w:p>
        </w:tc>
        <w:tc>
          <w:tcPr>
            <w:tcW w:w="21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50,276,000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华泰证券资管-浦发银行-华泰-歌尔“家园1号”员工持股计划集合资产管理计划</w:t>
            </w:r>
          </w:p>
        </w:tc>
        <w:tc>
          <w:tcPr>
            <w:tcW w:w="21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集合理财计划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29,579,500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挪威中央银行</w:t>
            </w:r>
          </w:p>
        </w:tc>
        <w:tc>
          <w:tcPr>
            <w:tcW w:w="21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QFII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18,924,331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中国对外经济贸易信托有限公司-淡水泉精选1期</w:t>
            </w:r>
          </w:p>
        </w:tc>
        <w:tc>
          <w:tcPr>
            <w:tcW w:w="21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信托计划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17,502,343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中央汇金资产管理有限责任公司</w:t>
            </w:r>
          </w:p>
        </w:tc>
        <w:tc>
          <w:tcPr>
            <w:tcW w:w="21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15,786,900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平安信托有限责任公司-投资精英之淡水泉</w:t>
            </w:r>
          </w:p>
        </w:tc>
        <w:tc>
          <w:tcPr>
            <w:tcW w:w="21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信托计划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14,652,793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淡水泉(北京)投资管理有限公司-淡水泉成长基金1期</w:t>
            </w:r>
          </w:p>
        </w:tc>
        <w:tc>
          <w:tcPr>
            <w:tcW w:w="21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投资公司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14,618,046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山东省国际信托股份有限公司-山东信托-歌尔声学“家园2号”员工持股集合资金信托计划</w:t>
            </w:r>
          </w:p>
        </w:tc>
        <w:tc>
          <w:tcPr>
            <w:tcW w:w="21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信托计划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13,021,748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841,909,771</w:t>
            </w:r>
          </w:p>
        </w:tc>
        <w:tc>
          <w:tcPr>
            <w:tcW w:w="21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55.14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前十大股东合计持股比例是55.14%，第一大股东是潍坊歌尔集团有限公司，持股比例是25.54%，第二大股东是姜滨，第三大股东是姜龙。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六、收入趋势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歌儿股份2016前三季度实现营业收入为126.05亿元，比上年同期增长38.57%。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营业收入（全年）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40.77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72.53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100.49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126.99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136.56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营业收入（前三季度）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27.54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45.31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62.36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83.59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90.96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126.05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909820" cy="3245485"/>
            <wp:effectExtent l="5080" t="4445" r="19050" b="7620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七、投资与收益情况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歌尔股份公司从2008年上市到2016年，总计募集各类资金约58亿元，实际投入约48亿元，实现收益约81.6亿元，募集资金明细以及投资项目收益情况明细如下：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-295" w:right="0" w:rightChars="0" w:hanging="619" w:hangingChars="258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（一）2008年IPO时，募集资金5.32亿，单位：万元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实际投资项目名称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承诺效益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2008年效益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2009年效益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2010年效益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2011年1-9月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截止日累计实现效益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微型驻极体麦克风 技改项目 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8583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1896.35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1574.63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7282.43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6454.28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微型扬声器／受话 器技改项目 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4520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1187.93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1518.55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4652.38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3391.19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蓝牙系列产品技改 项目 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4363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2355.98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1445.5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4554.92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3613.01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11969.41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MEMS 麦克风技改 项目 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4335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81.61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869.13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1896.91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3340.02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电声技术研发中心 技改项目 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便携式音频产品技 改项目 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355.96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1015.88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1459.72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1105.84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23007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5877.83</w:t>
            </w: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5877.83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19846.36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17904.34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50052.22</w:t>
            </w:r>
          </w:p>
        </w:tc>
      </w:tr>
    </w:tbl>
    <w:p>
      <w:pPr>
        <w:keepNext w:val="0"/>
        <w:keepLines w:val="0"/>
        <w:widowControl/>
        <w:suppressLineNumbers w:val="0"/>
        <w:ind w:left="0" w:leftChars="-295" w:hanging="619" w:hangingChars="258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ind w:left="-619" w:leftChars="-295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（二）2010年非公开发行募集资金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募集资金总额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本年度投入募集资金总额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已累计投入募集资金总额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50622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16041.83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48046.88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承诺投资项目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承诺效益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2010年效益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2011年1-9月效益</w:t>
            </w:r>
          </w:p>
        </w:tc>
        <w:tc>
          <w:tcPr>
            <w:tcW w:w="14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2011年10月</w:t>
            </w:r>
          </w:p>
        </w:tc>
        <w:tc>
          <w:tcPr>
            <w:tcW w:w="14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是否达到预计效益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微型数字麦克风技改项目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6,871.84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653.49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2,421.09</w:t>
            </w:r>
          </w:p>
        </w:tc>
        <w:tc>
          <w:tcPr>
            <w:tcW w:w="14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3074.58</w:t>
            </w:r>
          </w:p>
        </w:tc>
        <w:tc>
          <w:tcPr>
            <w:tcW w:w="14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手机用微型扬声器/受话器 技改项目 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6,026.28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498.11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1,699.66</w:t>
            </w:r>
          </w:p>
        </w:tc>
        <w:tc>
          <w:tcPr>
            <w:tcW w:w="14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2197.77</w:t>
            </w:r>
          </w:p>
        </w:tc>
        <w:tc>
          <w:tcPr>
            <w:tcW w:w="14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数字音频产品技改项目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4,536.61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2,244.62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3,551.18</w:t>
            </w:r>
          </w:p>
        </w:tc>
        <w:tc>
          <w:tcPr>
            <w:tcW w:w="14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5795.8</w:t>
            </w:r>
          </w:p>
        </w:tc>
        <w:tc>
          <w:tcPr>
            <w:tcW w:w="14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 封装技改项目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760.02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80.57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540.79</w:t>
            </w:r>
          </w:p>
        </w:tc>
        <w:tc>
          <w:tcPr>
            <w:tcW w:w="14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621.36</w:t>
            </w:r>
          </w:p>
        </w:tc>
        <w:tc>
          <w:tcPr>
            <w:tcW w:w="14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18,194.75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3476.79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8212.72</w:t>
            </w:r>
          </w:p>
        </w:tc>
        <w:tc>
          <w:tcPr>
            <w:tcW w:w="14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11689.51</w:t>
            </w:r>
          </w:p>
        </w:tc>
        <w:tc>
          <w:tcPr>
            <w:tcW w:w="142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left="-619" w:leftChars="-295" w:firstLine="0" w:firstLineChars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ind w:left="0" w:leftChars="-295" w:hanging="619" w:hangingChars="258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（三）2012年定增23.2亿，单位：万元</w:t>
      </w:r>
    </w:p>
    <w:tbl>
      <w:tblPr>
        <w:tblStyle w:val="13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承诺投资项目和超募资金投向 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调整后投资总额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累计投入金额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项目可达预定可使用状态日期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2015年本报告期实现的收益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承诺投资项目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微型电声器件及模组扩产项目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62856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63295.56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2014年6月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42450.67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高保真立体声耳塞式音频产品扩产项目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70499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71036.18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17786.76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智能电视配件扩产项目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43739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44119.88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2014年6月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1757.05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家用电子游戏机配件扩产项目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39080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20073.7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2014年12月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7498.04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研发中心扩建项目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14922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15359.99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2014年12月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承诺投资项目小计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231096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213885.31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69492.52</w:t>
            </w:r>
          </w:p>
        </w:tc>
      </w:tr>
    </w:tbl>
    <w:p>
      <w:pPr>
        <w:keepNext w:val="0"/>
        <w:keepLines w:val="0"/>
        <w:widowControl/>
        <w:suppressLineNumbers w:val="0"/>
        <w:ind w:left="0" w:leftChars="-295" w:hanging="619" w:hangingChars="258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（四）2014年募集24.5亿债券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承诺投资项目和超募资金投向 </w:t>
            </w:r>
          </w:p>
        </w:tc>
        <w:tc>
          <w:tcPr>
            <w:tcW w:w="1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调整后投资总额</w:t>
            </w:r>
          </w:p>
        </w:tc>
        <w:tc>
          <w:tcPr>
            <w:tcW w:w="1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累计投入金额</w:t>
            </w:r>
          </w:p>
        </w:tc>
        <w:tc>
          <w:tcPr>
            <w:tcW w:w="17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项目可达预定可使用状态日期</w:t>
            </w:r>
          </w:p>
        </w:tc>
        <w:tc>
          <w:tcPr>
            <w:tcW w:w="17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2016年半年度实现的效益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智能无线音响及汽车音响系统项目</w:t>
            </w:r>
          </w:p>
        </w:tc>
        <w:tc>
          <w:tcPr>
            <w:tcW w:w="1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95342</w:t>
            </w:r>
          </w:p>
        </w:tc>
        <w:tc>
          <w:tcPr>
            <w:tcW w:w="1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35626.13</w:t>
            </w:r>
          </w:p>
        </w:tc>
        <w:tc>
          <w:tcPr>
            <w:tcW w:w="17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2016.12.31</w:t>
            </w:r>
          </w:p>
        </w:tc>
        <w:tc>
          <w:tcPr>
            <w:tcW w:w="17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-536.48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可穿戴产品及智能传感器项目</w:t>
            </w:r>
          </w:p>
        </w:tc>
        <w:tc>
          <w:tcPr>
            <w:tcW w:w="1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90000</w:t>
            </w:r>
          </w:p>
        </w:tc>
        <w:tc>
          <w:tcPr>
            <w:tcW w:w="1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49357.88</w:t>
            </w:r>
          </w:p>
        </w:tc>
        <w:tc>
          <w:tcPr>
            <w:tcW w:w="17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2016.12.31</w:t>
            </w:r>
          </w:p>
        </w:tc>
        <w:tc>
          <w:tcPr>
            <w:tcW w:w="17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扬声器模组项目</w:t>
            </w:r>
          </w:p>
        </w:tc>
        <w:tc>
          <w:tcPr>
            <w:tcW w:w="1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25572.04</w:t>
            </w:r>
          </w:p>
        </w:tc>
        <w:tc>
          <w:tcPr>
            <w:tcW w:w="17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2016.12.31</w:t>
            </w:r>
          </w:p>
        </w:tc>
        <w:tc>
          <w:tcPr>
            <w:tcW w:w="17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智能终端天线项目</w:t>
            </w:r>
          </w:p>
        </w:tc>
        <w:tc>
          <w:tcPr>
            <w:tcW w:w="1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24667.26</w:t>
            </w:r>
          </w:p>
        </w:tc>
        <w:tc>
          <w:tcPr>
            <w:tcW w:w="17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2016.12.31</w:t>
            </w:r>
          </w:p>
        </w:tc>
        <w:tc>
          <w:tcPr>
            <w:tcW w:w="17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承诺投资项目小计</w:t>
            </w:r>
          </w:p>
        </w:tc>
        <w:tc>
          <w:tcPr>
            <w:tcW w:w="1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245342</w:t>
            </w:r>
          </w:p>
        </w:tc>
        <w:tc>
          <w:tcPr>
            <w:tcW w:w="170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135223.31</w:t>
            </w:r>
          </w:p>
        </w:tc>
        <w:tc>
          <w:tcPr>
            <w:tcW w:w="170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8012.75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8FC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8FCFF"/>
          <w:lang w:val="en-US" w:eastAsia="zh-CN"/>
        </w:rPr>
        <w:t>免责声明;本文涉及信息数据及观点仅供参考，不构成买卖之依据。本报告所依据的信息均来自公开渠道，如有任何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8FCFF"/>
          <w:lang w:val="en-US" w:eastAsia="zh-CN"/>
        </w:rPr>
        <w:t>不妥之处，请读者指正。使用前请核实，风险自负。股市有风险，入市需谨慎。</w:t>
      </w:r>
    </w:p>
    <w:p>
      <w:pPr>
        <w:ind w:left="1" w:leftChars="-295" w:hanging="620" w:firstLineChars="0"/>
        <w:jc w:val="left"/>
        <w:rPr>
          <w:rFonts w:hint="eastAsia"/>
          <w:lang w:val="en-US" w:eastAsia="zh-CN"/>
        </w:rPr>
      </w:pPr>
    </w:p>
    <w:p>
      <w:pPr>
        <w:ind w:left="1" w:leftChars="-295" w:hanging="620" w:firstLineChars="0"/>
        <w:jc w:val="left"/>
        <w:rPr>
          <w:rFonts w:hint="eastAsia"/>
          <w:lang w:val="en-US" w:eastAsia="zh-CN"/>
        </w:rPr>
      </w:pPr>
    </w:p>
    <w:p>
      <w:pPr>
        <w:ind w:left="1" w:leftChars="-295" w:hanging="620" w:firstLineChars="0"/>
        <w:jc w:val="left"/>
        <w:rPr>
          <w:rFonts w:hint="eastAsia"/>
          <w:lang w:val="en-US" w:eastAsia="zh-CN"/>
        </w:rPr>
      </w:pPr>
    </w:p>
    <w:p>
      <w:pPr>
        <w:ind w:left="1" w:leftChars="-295" w:hanging="620" w:firstLineChars="0"/>
        <w:jc w:val="left"/>
        <w:rPr>
          <w:rFonts w:hint="eastAsia"/>
          <w:lang w:val="en-US" w:eastAsia="zh-CN"/>
        </w:rPr>
      </w:pPr>
    </w:p>
    <w:p>
      <w:pPr>
        <w:ind w:left="1" w:leftChars="-295" w:hanging="620" w:firstLineChars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ind w:left="1" w:leftChars="-295" w:hanging="620" w:firstLineChars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蔡文堂</w:t>
      </w:r>
    </w:p>
    <w:p>
      <w:pPr>
        <w:ind w:left="1" w:leftChars="-295" w:hanging="620" w:firstLineChars="0"/>
        <w:jc w:val="righ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杭州中财国石投资有限公司</w:t>
      </w:r>
    </w:p>
    <w:p>
      <w:pPr>
        <w:ind w:left="1" w:leftChars="-295" w:hanging="620" w:firstLineChars="0"/>
        <w:jc w:val="righ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2016.11.30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Sofi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A75D8"/>
    <w:multiLevelType w:val="singleLevel"/>
    <w:tmpl w:val="583A75D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3CDA43"/>
    <w:multiLevelType w:val="singleLevel"/>
    <w:tmpl w:val="583CDA43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4A5B"/>
    <w:rsid w:val="020F3982"/>
    <w:rsid w:val="02EA2E6C"/>
    <w:rsid w:val="03CE4BBB"/>
    <w:rsid w:val="03E35D8C"/>
    <w:rsid w:val="04DB2A9F"/>
    <w:rsid w:val="06292A80"/>
    <w:rsid w:val="06FB2C8C"/>
    <w:rsid w:val="076929BE"/>
    <w:rsid w:val="09DE0B22"/>
    <w:rsid w:val="0A3E3BBF"/>
    <w:rsid w:val="0ADA1A2E"/>
    <w:rsid w:val="0B257BFA"/>
    <w:rsid w:val="0B383996"/>
    <w:rsid w:val="0BA378C9"/>
    <w:rsid w:val="0BB41B58"/>
    <w:rsid w:val="0CE5165A"/>
    <w:rsid w:val="0D1D1A87"/>
    <w:rsid w:val="0D786D77"/>
    <w:rsid w:val="0EB32F53"/>
    <w:rsid w:val="102B0F71"/>
    <w:rsid w:val="10367F05"/>
    <w:rsid w:val="11E804B7"/>
    <w:rsid w:val="12AB667F"/>
    <w:rsid w:val="138E5DF2"/>
    <w:rsid w:val="155E7AE0"/>
    <w:rsid w:val="15790644"/>
    <w:rsid w:val="164B27BB"/>
    <w:rsid w:val="165D1184"/>
    <w:rsid w:val="167F04D5"/>
    <w:rsid w:val="18A92602"/>
    <w:rsid w:val="19C73A01"/>
    <w:rsid w:val="19E743BD"/>
    <w:rsid w:val="1A35739B"/>
    <w:rsid w:val="1A61534F"/>
    <w:rsid w:val="1A721828"/>
    <w:rsid w:val="1B9B628D"/>
    <w:rsid w:val="1C462A18"/>
    <w:rsid w:val="1E9F3375"/>
    <w:rsid w:val="1EFF655A"/>
    <w:rsid w:val="2092730B"/>
    <w:rsid w:val="21932C5A"/>
    <w:rsid w:val="22230E37"/>
    <w:rsid w:val="226024A3"/>
    <w:rsid w:val="2286783A"/>
    <w:rsid w:val="231D0195"/>
    <w:rsid w:val="234B271A"/>
    <w:rsid w:val="234F2B09"/>
    <w:rsid w:val="23FD2595"/>
    <w:rsid w:val="24093827"/>
    <w:rsid w:val="24775EE0"/>
    <w:rsid w:val="264301A4"/>
    <w:rsid w:val="26A7578F"/>
    <w:rsid w:val="277E396A"/>
    <w:rsid w:val="281E04EE"/>
    <w:rsid w:val="28681004"/>
    <w:rsid w:val="2AAC2C0C"/>
    <w:rsid w:val="2EBD495D"/>
    <w:rsid w:val="2F2A26AF"/>
    <w:rsid w:val="2F991DA8"/>
    <w:rsid w:val="32C123F7"/>
    <w:rsid w:val="35020C73"/>
    <w:rsid w:val="35AC4880"/>
    <w:rsid w:val="364E382F"/>
    <w:rsid w:val="3679244D"/>
    <w:rsid w:val="37D90437"/>
    <w:rsid w:val="38321297"/>
    <w:rsid w:val="386B452E"/>
    <w:rsid w:val="388102DC"/>
    <w:rsid w:val="38B1763B"/>
    <w:rsid w:val="392F59B7"/>
    <w:rsid w:val="3945160D"/>
    <w:rsid w:val="3A494DE6"/>
    <w:rsid w:val="3B2076A1"/>
    <w:rsid w:val="3B727CB9"/>
    <w:rsid w:val="3B8033DD"/>
    <w:rsid w:val="3C062FFE"/>
    <w:rsid w:val="3C0A28A9"/>
    <w:rsid w:val="3CAF2E29"/>
    <w:rsid w:val="3CF0093D"/>
    <w:rsid w:val="3E1D755E"/>
    <w:rsid w:val="3E477F52"/>
    <w:rsid w:val="3F135F3A"/>
    <w:rsid w:val="3F8E22BA"/>
    <w:rsid w:val="3F9F18D7"/>
    <w:rsid w:val="4013673A"/>
    <w:rsid w:val="43A464E0"/>
    <w:rsid w:val="44C9384D"/>
    <w:rsid w:val="45E1364C"/>
    <w:rsid w:val="46992CB0"/>
    <w:rsid w:val="46CC77E3"/>
    <w:rsid w:val="481853D7"/>
    <w:rsid w:val="483452CD"/>
    <w:rsid w:val="4910403F"/>
    <w:rsid w:val="4AD00F4D"/>
    <w:rsid w:val="4B444132"/>
    <w:rsid w:val="4D122CDB"/>
    <w:rsid w:val="4DD72BF5"/>
    <w:rsid w:val="4E7005C2"/>
    <w:rsid w:val="4E9B0254"/>
    <w:rsid w:val="4F287523"/>
    <w:rsid w:val="51577DC9"/>
    <w:rsid w:val="52116333"/>
    <w:rsid w:val="52847E15"/>
    <w:rsid w:val="53416BF5"/>
    <w:rsid w:val="5348601E"/>
    <w:rsid w:val="535D76DF"/>
    <w:rsid w:val="538B1F6A"/>
    <w:rsid w:val="54D50C81"/>
    <w:rsid w:val="54DB443B"/>
    <w:rsid w:val="551747B4"/>
    <w:rsid w:val="559C7E4D"/>
    <w:rsid w:val="55BB1AD0"/>
    <w:rsid w:val="55FC6AE0"/>
    <w:rsid w:val="56DA4583"/>
    <w:rsid w:val="56FE4620"/>
    <w:rsid w:val="57240581"/>
    <w:rsid w:val="57250EE9"/>
    <w:rsid w:val="573771FF"/>
    <w:rsid w:val="57AC7DE6"/>
    <w:rsid w:val="581B37A5"/>
    <w:rsid w:val="58292F1F"/>
    <w:rsid w:val="5A703794"/>
    <w:rsid w:val="5BA224FB"/>
    <w:rsid w:val="5C386ADE"/>
    <w:rsid w:val="5C943D7D"/>
    <w:rsid w:val="5CE0511A"/>
    <w:rsid w:val="5D0B121A"/>
    <w:rsid w:val="5EAD68A2"/>
    <w:rsid w:val="623D19AD"/>
    <w:rsid w:val="62715D34"/>
    <w:rsid w:val="636F2AD2"/>
    <w:rsid w:val="64424E78"/>
    <w:rsid w:val="662C1BAF"/>
    <w:rsid w:val="692D65B3"/>
    <w:rsid w:val="69E62993"/>
    <w:rsid w:val="6A1C261F"/>
    <w:rsid w:val="6BFF4692"/>
    <w:rsid w:val="6C6330B0"/>
    <w:rsid w:val="6C9F4C56"/>
    <w:rsid w:val="6CD63DB9"/>
    <w:rsid w:val="6CD841D0"/>
    <w:rsid w:val="6F98370A"/>
    <w:rsid w:val="70742E8D"/>
    <w:rsid w:val="70E026FF"/>
    <w:rsid w:val="715B7F20"/>
    <w:rsid w:val="720F0007"/>
    <w:rsid w:val="72CF31C0"/>
    <w:rsid w:val="72D04346"/>
    <w:rsid w:val="732F2C51"/>
    <w:rsid w:val="73D34CEF"/>
    <w:rsid w:val="78DF1E06"/>
    <w:rsid w:val="797466F3"/>
    <w:rsid w:val="79B24FA2"/>
    <w:rsid w:val="7A041062"/>
    <w:rsid w:val="7BAE5BC6"/>
    <w:rsid w:val="7D67584C"/>
    <w:rsid w:val="7E513D44"/>
    <w:rsid w:val="7EDF40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666666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TML Definition"/>
    <w:basedOn w:val="2"/>
    <w:qFormat/>
    <w:uiPriority w:val="0"/>
  </w:style>
  <w:style w:type="character" w:styleId="6">
    <w:name w:val="HTML Variable"/>
    <w:basedOn w:val="2"/>
    <w:qFormat/>
    <w:uiPriority w:val="0"/>
  </w:style>
  <w:style w:type="character" w:styleId="7">
    <w:name w:val="Hyperlink"/>
    <w:basedOn w:val="2"/>
    <w:uiPriority w:val="0"/>
    <w:rPr>
      <w:color w:val="666666"/>
      <w:u w:val="none"/>
    </w:rPr>
  </w:style>
  <w:style w:type="character" w:styleId="8">
    <w:name w:val="HTML Code"/>
    <w:basedOn w:val="2"/>
    <w:uiPriority w:val="0"/>
    <w:rPr>
      <w:rFonts w:hint="default" w:ascii="Courier New" w:hAnsi="Courier New" w:eastAsia="Courier New" w:cs="Courier New"/>
      <w:sz w:val="20"/>
    </w:rPr>
  </w:style>
  <w:style w:type="character" w:styleId="9">
    <w:name w:val="HTML Cite"/>
    <w:basedOn w:val="2"/>
    <w:uiPriority w:val="0"/>
  </w:style>
  <w:style w:type="character" w:styleId="10">
    <w:name w:val="HTML Keyboard"/>
    <w:basedOn w:val="2"/>
    <w:qFormat/>
    <w:uiPriority w:val="0"/>
    <w:rPr>
      <w:rFonts w:hint="default" w:ascii="Courier New" w:hAnsi="Courier New" w:eastAsia="Courier New" w:cs="Courier New"/>
      <w:sz w:val="20"/>
    </w:rPr>
  </w:style>
  <w:style w:type="character" w:styleId="11">
    <w:name w:val="HTML Sample"/>
    <w:basedOn w:val="2"/>
    <w:qFormat/>
    <w:uiPriority w:val="0"/>
    <w:rPr>
      <w:rFonts w:ascii="Courier New" w:hAnsi="Courier New" w:eastAsia="Courier New" w:cs="Courier New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4">
    <w:name w:val="font11"/>
    <w:basedOn w:val="2"/>
    <w:qFormat/>
    <w:uiPriority w:val="0"/>
    <w:rPr>
      <w:rFonts w:ascii="Arial" w:hAnsi="Arial" w:cs="Arial"/>
      <w:b/>
      <w:color w:val="000000"/>
      <w:sz w:val="28"/>
      <w:szCs w:val="28"/>
      <w:u w:val="none"/>
    </w:rPr>
  </w:style>
  <w:style w:type="character" w:customStyle="1" w:styleId="15">
    <w:name w:val="font41"/>
    <w:basedOn w:val="2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6">
    <w:name w:val="font21"/>
    <w:basedOn w:val="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font31"/>
    <w:basedOn w:val="2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8">
    <w:name w:val="ylw"/>
    <w:basedOn w:val="2"/>
    <w:qFormat/>
    <w:uiPriority w:val="0"/>
    <w:rPr>
      <w:color w:val="F8BD0B"/>
    </w:rPr>
  </w:style>
  <w:style w:type="character" w:customStyle="1" w:styleId="19">
    <w:name w:val="spe"/>
    <w:basedOn w:val="2"/>
    <w:qFormat/>
    <w:uiPriority w:val="0"/>
  </w:style>
  <w:style w:type="character" w:customStyle="1" w:styleId="20">
    <w:name w:val="jgmc"/>
    <w:basedOn w:val="2"/>
    <w:qFormat/>
    <w:uiPriority w:val="0"/>
  </w:style>
  <w:style w:type="character" w:customStyle="1" w:styleId="21">
    <w:name w:val="current_paging"/>
    <w:basedOn w:val="2"/>
    <w:uiPriority w:val="0"/>
    <w:rPr>
      <w:color w:val="FFFFFF"/>
      <w:shd w:val="clear" w:fill="B74444"/>
    </w:rPr>
  </w:style>
  <w:style w:type="character" w:customStyle="1" w:styleId="22">
    <w:name w:val="hover50"/>
    <w:basedOn w:val="2"/>
    <w:qFormat/>
    <w:uiPriority w:val="0"/>
    <w:rPr>
      <w:color w:val="FFB400"/>
    </w:rPr>
  </w:style>
  <w:style w:type="character" w:customStyle="1" w:styleId="23">
    <w:name w:val="hover51"/>
    <w:basedOn w:val="2"/>
    <w:qFormat/>
    <w:uiPriority w:val="0"/>
    <w:rPr>
      <w:color w:val="FFB400"/>
      <w:u w:val="none"/>
      <w:shd w:val="clear" w:fill="344459"/>
    </w:rPr>
  </w:style>
  <w:style w:type="character" w:customStyle="1" w:styleId="24">
    <w:name w:val="hover52"/>
    <w:basedOn w:val="2"/>
    <w:qFormat/>
    <w:uiPriority w:val="0"/>
    <w:rPr>
      <w:color w:val="999999"/>
      <w:shd w:val="clear" w:fill="0F1720"/>
    </w:rPr>
  </w:style>
  <w:style w:type="character" w:customStyle="1" w:styleId="25">
    <w:name w:val="hover53"/>
    <w:basedOn w:val="2"/>
    <w:uiPriority w:val="0"/>
    <w:rPr>
      <w:color w:val="FFE400"/>
      <w:shd w:val="clear" w:fill="44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D:\&#22269;&#30707;\&#25345;&#20179;&#32929;&#31080;&#20998;&#26512;\&#27468;&#23572;&#32929;&#20221;\&#32593;&#31449;&#25991;&#31456;\11.27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&#22269;&#30707;\&#25345;&#20179;&#32929;&#31080;&#20998;&#26512;\&#27468;&#23572;&#32929;&#20221;\&#32593;&#31449;&#25991;&#31456;\11.2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[11.27.xlsx]Sheet1!$D$1</c:f>
              <c:strCache>
                <c:ptCount val="1"/>
                <c:pt idx="0">
                  <c:v>比例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[11.27.xlsx]Sheet1!$C$2:$C$3</c:f>
              <c:strCache>
                <c:ptCount val="2"/>
                <c:pt idx="0">
                  <c:v>流通A股</c:v>
                </c:pt>
                <c:pt idx="1">
                  <c:v>有限售条件股份</c:v>
                </c:pt>
              </c:strCache>
            </c:strRef>
          </c:cat>
          <c:val>
            <c:numRef>
              <c:f>[11.27.xlsx]Sheet1!$D$2:$D$3</c:f>
              <c:numCache>
                <c:formatCode>0.00%</c:formatCode>
                <c:ptCount val="2"/>
                <c:pt idx="0">
                  <c:v>0.8274</c:v>
                </c:pt>
                <c:pt idx="1">
                  <c:v>0.1726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600">
                <a:solidFill>
                  <a:schemeClr val="tx1">
                    <a:lumMod val="65000"/>
                    <a:lumOff val="35000"/>
                  </a:schemeClr>
                </a:solidFill>
                <a:uFillTx/>
              </a:rPr>
              <a:t>收入趋势</a:t>
            </a:r>
            <a:endParaRPr sz="1600">
              <a:solidFill>
                <a:schemeClr val="tx1">
                  <a:lumMod val="65000"/>
                  <a:lumOff val="35000"/>
                </a:schemeClr>
              </a:solidFill>
              <a:uFillTx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[11.27.xlsx]Sheet1!$D$3</c:f>
              <c:strCache>
                <c:ptCount val="1"/>
                <c:pt idx="0">
                  <c:v>营业收入（全年）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[11.27.xlsx]Sheet1!$E$2:$J$2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[11.27.xlsx]Sheet1!$E$3:$J$3</c:f>
              <c:numCache>
                <c:formatCode>General</c:formatCode>
                <c:ptCount val="6"/>
                <c:pt idx="0">
                  <c:v>40.77</c:v>
                </c:pt>
                <c:pt idx="1">
                  <c:v>72.53</c:v>
                </c:pt>
                <c:pt idx="2">
                  <c:v>100.49</c:v>
                </c:pt>
                <c:pt idx="3">
                  <c:v>126.99</c:v>
                </c:pt>
                <c:pt idx="4">
                  <c:v>136.56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148246299"/>
        <c:axId val="13633965"/>
      </c:barChart>
      <c:lineChart>
        <c:grouping val="standard"/>
        <c:varyColors val="0"/>
        <c:ser>
          <c:idx val="1"/>
          <c:order val="1"/>
          <c:tx>
            <c:strRef>
              <c:f>[11.27.xlsx]Sheet1!$D$4</c:f>
              <c:strCache>
                <c:ptCount val="1"/>
                <c:pt idx="0">
                  <c:v>营业收入（前三季度）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[11.27.xlsx]Sheet1!$E$2:$J$2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[11.27.xlsx]Sheet1!$E$4:$J$4</c:f>
              <c:numCache>
                <c:formatCode>General</c:formatCode>
                <c:ptCount val="6"/>
                <c:pt idx="0">
                  <c:v>27.54</c:v>
                </c:pt>
                <c:pt idx="1">
                  <c:v>45.31</c:v>
                </c:pt>
                <c:pt idx="2">
                  <c:v>62.36</c:v>
                </c:pt>
                <c:pt idx="3">
                  <c:v>83.59</c:v>
                </c:pt>
                <c:pt idx="4">
                  <c:v>90.96</c:v>
                </c:pt>
                <c:pt idx="5">
                  <c:v>126.05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48246299"/>
        <c:axId val="13633965"/>
      </c:lineChart>
      <c:catAx>
        <c:axId val="14824629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633965"/>
        <c:crosses val="autoZero"/>
        <c:auto val="1"/>
        <c:lblAlgn val="ctr"/>
        <c:lblOffset val="100"/>
        <c:noMultiLvlLbl val="0"/>
      </c:catAx>
      <c:valAx>
        <c:axId val="1363396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sz="1200"/>
                  <a:t>营业收入（亿元</a:t>
                </a:r>
                <a:r>
                  <a:t>）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82462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CWTPC</dc:creator>
  <cp:lastModifiedBy>guoshi</cp:lastModifiedBy>
  <dcterms:modified xsi:type="dcterms:W3CDTF">2016-11-29T01:29:48Z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